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bookmarkStart w:id="1" w:name="_GoBack"/>
      <w:bookmarkEnd w:id="1"/>
      <w:r>
        <w:t xml:space="preserve">Документ предоставлен </w:t>
      </w:r>
      <w:r>
        <w:fldChar w:fldCharType="begin"/>
      </w:r>
      <w:r>
        <w:instrText xml:space="preserve"> HYPERLINK "http://www.consultant.ru" </w:instrText>
      </w:r>
      <w:r>
        <w:fldChar w:fldCharType="separate"/>
      </w:r>
      <w:r>
        <w:rPr>
          <w:color w:val="0000FF"/>
        </w:rPr>
        <w:t>КонсультантПлюс</w:t>
      </w:r>
      <w:r>
        <w:rPr>
          <w:color w:val="0000FF"/>
        </w:rPr>
        <w:fldChar w:fldCharType="end"/>
      </w:r>
      <w:r>
        <w:br w:type="textWrapping"/>
      </w:r>
    </w:p>
    <w:p>
      <w:pPr>
        <w:pStyle w:val="4"/>
        <w:jc w:val="both"/>
        <w:outlineLvl w:val="0"/>
      </w:pPr>
    </w:p>
    <w:p>
      <w:pPr>
        <w:pStyle w:val="6"/>
        <w:jc w:val="center"/>
        <w:outlineLvl w:val="0"/>
      </w:pPr>
      <w:r>
        <w:t>ПРАВИТЕЛЬСТВО УЛЬЯНОВСКОЙ ОБЛАСТИ</w:t>
      </w:r>
    </w:p>
    <w:p>
      <w:pPr>
        <w:pStyle w:val="6"/>
        <w:jc w:val="both"/>
      </w:pPr>
    </w:p>
    <w:p>
      <w:pPr>
        <w:pStyle w:val="6"/>
        <w:jc w:val="center"/>
      </w:pPr>
      <w:r>
        <w:t>ПОСТАНОВЛЕНИЕ</w:t>
      </w:r>
    </w:p>
    <w:p>
      <w:pPr>
        <w:pStyle w:val="6"/>
        <w:jc w:val="center"/>
      </w:pPr>
      <w:r>
        <w:t>от 10 декабря 2019 г. N 673-П</w:t>
      </w:r>
    </w:p>
    <w:p>
      <w:pPr>
        <w:pStyle w:val="6"/>
        <w:jc w:val="both"/>
      </w:pPr>
    </w:p>
    <w:p>
      <w:pPr>
        <w:pStyle w:val="6"/>
        <w:jc w:val="center"/>
      </w:pPr>
      <w:r>
        <w:t>ОБ УТВЕРЖДЕНИИ ПРЕДЕЛЬНОГО УРОВНЯ СОФИНАНСИРОВАНИЯ РАСХОДНЫХ</w:t>
      </w:r>
    </w:p>
    <w:p>
      <w:pPr>
        <w:pStyle w:val="6"/>
        <w:jc w:val="center"/>
      </w:pPr>
      <w:r>
        <w:t>ОБЯЗАТЕЛЬСТВ МУНИЦИПАЛЬНЫХ ОБРАЗОВАНИЙ УЛЬЯНОВСКОЙ ОБЛАСТИ</w:t>
      </w:r>
    </w:p>
    <w:p>
      <w:pPr>
        <w:pStyle w:val="6"/>
        <w:jc w:val="center"/>
      </w:pPr>
      <w:r>
        <w:t>ИЗ ОБЛАСТНОГО БЮДЖЕТА УЛЬЯНОВСКОЙ ОБЛАСТИ НА 2020 ГОД</w:t>
      </w:r>
    </w:p>
    <w:p>
      <w:pPr>
        <w:pStyle w:val="6"/>
        <w:jc w:val="center"/>
      </w:pPr>
      <w:r>
        <w:t>И НА ПЛАНОВЫЙ ПЕРИОД 2021 И 2022 ГОДОВ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t xml:space="preserve">В соответствии с </w:t>
      </w:r>
      <w:r>
        <w:fldChar w:fldCharType="begin"/>
      </w:r>
      <w:r>
        <w:instrText xml:space="preserve"> HYPERLINK "consultantplus://offline/ref=5932C5BD4D080CBB2979C1562AA2793726AD822208AE8CE305D980BB4920FA21ADAE3C7EE47347CB92D72D27E6A9E64E97ACDA459A85D1B750CBE8nFm6H" </w:instrText>
      </w:r>
      <w:r>
        <w:fldChar w:fldCharType="separate"/>
      </w:r>
      <w:r>
        <w:rPr>
          <w:color w:val="0000FF"/>
        </w:rPr>
        <w:t>пунктом 12</w:t>
      </w:r>
      <w:r>
        <w:rPr>
          <w:color w:val="0000FF"/>
        </w:rPr>
        <w:fldChar w:fldCharType="end"/>
      </w:r>
      <w:r>
        <w:t xml:space="preserve"> Правил формирования, предоставления и распределения субсидий из областного бюджета Ульяновской области бюджетам муниципальных образований Ульяновской области, утвержденных постановлением Правительства Ульяновской области от 29.10.2019 N 538 "О формировании, предоставлении и распределении субсидий из областного бюджета Ульяновской области бюджетам муниципальных образований Ульяновской области", Правительство Ульяновской области постановляет:</w:t>
      </w:r>
    </w:p>
    <w:p>
      <w:pPr>
        <w:pStyle w:val="4"/>
        <w:spacing w:before="220"/>
        <w:ind w:firstLine="540"/>
        <w:jc w:val="both"/>
      </w:pPr>
      <w:r>
        <w:t xml:space="preserve">1. Утвердить прилагаемый предельный </w:t>
      </w:r>
      <w:r>
        <w:fldChar w:fldCharType="begin"/>
      </w:r>
      <w:r>
        <w:instrText xml:space="preserve"> HYPERLINK \l "P28" </w:instrText>
      </w:r>
      <w:r>
        <w:fldChar w:fldCharType="separate"/>
      </w:r>
      <w:r>
        <w:rPr>
          <w:color w:val="0000FF"/>
        </w:rPr>
        <w:t>уровень</w:t>
      </w:r>
      <w:r>
        <w:rPr>
          <w:color w:val="0000FF"/>
        </w:rPr>
        <w:fldChar w:fldCharType="end"/>
      </w:r>
      <w:r>
        <w:t xml:space="preserve"> софинансирования расходных обязательств муниципальных образований Ульяновской области из областного бюджета Ульяновской области на 2020 год и на плановый период 2021 и 2022 годов.</w:t>
      </w:r>
    </w:p>
    <w:p>
      <w:pPr>
        <w:pStyle w:val="4"/>
        <w:spacing w:before="220"/>
        <w:ind w:firstLine="540"/>
        <w:jc w:val="both"/>
      </w:pPr>
      <w:r>
        <w:t>2. Настоящее постановление вступает в силу с 1 января 2020 года.</w:t>
      </w:r>
    </w:p>
    <w:p>
      <w:pPr>
        <w:pStyle w:val="4"/>
        <w:jc w:val="both"/>
      </w:pPr>
    </w:p>
    <w:p>
      <w:pPr>
        <w:pStyle w:val="4"/>
        <w:jc w:val="right"/>
      </w:pPr>
      <w:r>
        <w:t>Председатель</w:t>
      </w:r>
    </w:p>
    <w:p>
      <w:pPr>
        <w:pStyle w:val="4"/>
        <w:jc w:val="right"/>
      </w:pPr>
      <w:r>
        <w:t>Правительства Ульяновской области</w:t>
      </w:r>
    </w:p>
    <w:p>
      <w:pPr>
        <w:pStyle w:val="4"/>
        <w:jc w:val="right"/>
      </w:pPr>
      <w:r>
        <w:t>А.А.СМЕКАЛИН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right"/>
        <w:outlineLvl w:val="0"/>
      </w:pPr>
      <w:r>
        <w:t>Утвержден</w:t>
      </w:r>
    </w:p>
    <w:p>
      <w:pPr>
        <w:pStyle w:val="4"/>
        <w:jc w:val="right"/>
      </w:pPr>
      <w:r>
        <w:t>постановлением</w:t>
      </w:r>
    </w:p>
    <w:p>
      <w:pPr>
        <w:pStyle w:val="4"/>
        <w:jc w:val="right"/>
      </w:pPr>
      <w:r>
        <w:t>Правительства Ульяновской области</w:t>
      </w:r>
    </w:p>
    <w:p>
      <w:pPr>
        <w:pStyle w:val="4"/>
        <w:jc w:val="right"/>
      </w:pPr>
      <w:r>
        <w:t>от 10 декабря 2019 г. N 673-П</w:t>
      </w:r>
    </w:p>
    <w:p>
      <w:pPr>
        <w:pStyle w:val="4"/>
        <w:jc w:val="both"/>
      </w:pPr>
    </w:p>
    <w:p>
      <w:pPr>
        <w:pStyle w:val="6"/>
        <w:jc w:val="center"/>
      </w:pPr>
      <w:bookmarkStart w:id="0" w:name="P28"/>
      <w:bookmarkEnd w:id="0"/>
      <w:r>
        <w:t>ПРЕДЕЛЬНЫЙ УРОВЕНЬ</w:t>
      </w:r>
    </w:p>
    <w:p>
      <w:pPr>
        <w:pStyle w:val="6"/>
        <w:jc w:val="center"/>
      </w:pPr>
      <w:r>
        <w:t>СОФИНАНСИРОВАНИЯ РАСХОДНЫХ ОБЯЗАТЕЛЬСТВ МУНИЦИПАЛЬНЫХ</w:t>
      </w:r>
    </w:p>
    <w:p>
      <w:pPr>
        <w:pStyle w:val="6"/>
        <w:jc w:val="center"/>
      </w:pPr>
      <w:r>
        <w:t>ОБРАЗОВАНИЙ УЛЬЯНОВСКОЙ ОБЛАСТИ ИЗ ОБЛАСТНОГО БЮДЖЕТА</w:t>
      </w:r>
    </w:p>
    <w:p>
      <w:pPr>
        <w:pStyle w:val="6"/>
        <w:jc w:val="center"/>
      </w:pPr>
      <w:r>
        <w:t>УЛЬЯНОВСКОЙ ОБЛАСТИ НА 2020 ГОД И НА ПЛАНОВЫЙ ПЕРИОД</w:t>
      </w:r>
    </w:p>
    <w:p>
      <w:pPr>
        <w:pStyle w:val="6"/>
        <w:jc w:val="center"/>
      </w:pPr>
      <w:r>
        <w:t>2021 И 2022 ГОДОВ</w:t>
      </w:r>
    </w:p>
    <w:p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989"/>
        <w:gridCol w:w="1019"/>
        <w:gridCol w:w="101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restart"/>
            <w:vAlign w:val="center"/>
          </w:tcPr>
          <w:p>
            <w:pPr>
              <w:pStyle w:val="4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vAlign w:val="center"/>
          </w:tcPr>
          <w:p>
            <w:pPr>
              <w:pStyle w:val="4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059" w:type="dxa"/>
            <w:gridSpan w:val="3"/>
          </w:tcPr>
          <w:p>
            <w:pPr>
              <w:pStyle w:val="4"/>
              <w:jc w:val="center"/>
            </w:pPr>
            <w:r>
              <w:t>Значение предельного уровня софинансирования (в процентах от объема расходных обязательств)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Merge w:val="continue"/>
          </w:tcPr>
          <w:p/>
        </w:tc>
        <w:tc>
          <w:tcPr>
            <w:tcW w:w="4989" w:type="dxa"/>
            <w:vMerge w:val="continue"/>
          </w:tcPr>
          <w:p/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2020 год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2021 год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2022 год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  <w:vAlign w:val="center"/>
          </w:tcPr>
          <w:p>
            <w:pPr>
              <w:pStyle w:val="4"/>
              <w:jc w:val="center"/>
            </w:pPr>
            <w:r>
              <w:t>1</w:t>
            </w:r>
          </w:p>
        </w:tc>
        <w:tc>
          <w:tcPr>
            <w:tcW w:w="4989" w:type="dxa"/>
          </w:tcPr>
          <w:p>
            <w:pPr>
              <w:pStyle w:val="4"/>
              <w:jc w:val="center"/>
            </w:pPr>
            <w:r>
              <w:t>2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3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4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Базарносызганский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1.1.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Базарносызганское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1.2.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Должниковское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1.3.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Лапшаурское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1.4.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Папузинское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1.5.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Сосновоборское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2.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Барышский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2.1.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Барышское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2.2.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Жадовское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2.3.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Живайкинское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2.4.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Земляничненское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2.5.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Измайловское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2.6.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Ленинское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2.7.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Малохомутерское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2.8.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Поливановское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2.9.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Старотимошкинское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3.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Вешкаймский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3.1.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Бекетовское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3.2.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Вешкаймское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3.3.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Ермоловское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3.4.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Каргинское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3.5.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Стемасское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3.6.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Чуфаровское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4.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Инзенский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4.1.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Валгусское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4.2.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Глотовское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4.3.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Инзенское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4.4.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Коржевское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4.5.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Оськинское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4.6.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Сюксюмское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4.7.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Труслейское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4.8.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Черемушкинское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5.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Карсунский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5.1.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Большепоселковское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5.2.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Вальдиватское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5.3.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Горенское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5.4.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Карсунское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5.5.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Новопогореловское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5.6.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Сосновское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5.7.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Урено-Карлинское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5.8.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Языковское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6.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Кузоватовский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6.1.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Безводовское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6.2.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Еделевское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6.3.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Коромысловское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6.4.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Кузоватовское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6.5.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Лесоматюнинское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6.6.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Спешневское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7.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Майнский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7.1.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Анненковское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7.2.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Выровское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7.3.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Гимовское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7.4.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Игнатовское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7.5.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Майнское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7.6.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Старомаклаушинское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7.7.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Тагайское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8.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Мелекесский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8.1.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Лебяжинское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8.2.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Мулловское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8.3.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Николочеремшанское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8.4.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Новомайнское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8.5.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Новоселкинское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8.6.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Рязановское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8.7.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Старосахчинское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8.8.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Тиинское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9.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Николаевский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9.1.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Барановское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9.2.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Николаевское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9.3.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Никулинское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9.4.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Головинское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9.5.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Дубровское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9.6.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Канадейское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9.7.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Поспеловское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9.8.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Славкинское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9.9.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Сухотерешанское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10.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Новомалыклинский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10.1.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Высококолковское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10.2.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Новомалыклинское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10.3.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Новочеремшанское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10.4.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Среднесантимирское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10.5.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Среднеякушкинское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11.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Новоспасский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11.1.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Коптевское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11.2.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Красносельское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11.3.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Новоспасское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11.4.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Садовское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11.5.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Троицко-Сунгурское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11.6.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Фабричновыселковское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12.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Павловский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12.1.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Баклушинское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12.2.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Павловское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12.3.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Пичеурское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12.4.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Холстовское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12.5.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Шаховское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12.6.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Шмалакское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13.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Радищевский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13.1.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Дмитриевское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13.2.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Калиновское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13.3.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Октябрьское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13.4.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Ореховское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13.5.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Радищевское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14.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Сенгилеевский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14.1.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Елаурское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14.2.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Красногуляевское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14.3.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Новослободское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14.4.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Сенгилеевское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14.5.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Силикатненское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14.6.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Тушнинское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15.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Старокулаткинский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15.1.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Зеленовское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15.2.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Мостякское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15.3.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Старокулаткинское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15.4.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Староатлашское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15.5.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Терешанское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16.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Старомайнский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16.1.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Жедяевское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16.2.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Кандалинское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16.3.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Краснореченское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16.4.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Матвеевское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16.5.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Прибрежненское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16.6.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Старомайнское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16.7.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Урайкинское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17.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Сурский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17.1.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Астрадамовское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17.2.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Лавинское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17.3.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Никитинское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17.4.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Сарское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17.5.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Сурское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17.6.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Хмелевское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17.7.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Чеботаевское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18.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Тереньгульский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18.1.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Белогорское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18.2.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Красноборское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18.3.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Михайловское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18.4.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Подкуровское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18.5.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Тереньгульское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18.6.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Ясашноташлинское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99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19.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Ульяновский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19.1.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Ишеевское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19.2.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Зеленорощинское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19.3.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Тетюшское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19.4.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Тимирязевское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19.5.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Ундоровское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19.6.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Большеключищенское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98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20.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Цильнинский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20.1.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Алгашинское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20.2.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Анненковское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20.3.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Большенагаткинское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20.4.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Елховоозерское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20.5.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Мокробугурнинское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20.6.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Новоникулинское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20.7.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Тимерсянское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20.8.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Цильнинское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21.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Чердаклинский район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21.1.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Белоярское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21.2.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Богдашкинское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21.3.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Бряндинское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21.4.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Калмаюрское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21.5.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Красноярское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21.6.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Крестовогородищенское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21.7.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Мирновское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21.8.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Озерское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21.9.</w:t>
            </w:r>
          </w:p>
        </w:tc>
        <w:tc>
          <w:tcPr>
            <w:tcW w:w="4989" w:type="dxa"/>
            <w:vAlign w:val="bottom"/>
          </w:tcPr>
          <w:p>
            <w:pPr>
              <w:pStyle w:val="4"/>
            </w:pPr>
            <w:r>
              <w:t>Октябрьское сельское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</w:pPr>
            <w:r>
              <w:t>21.10.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Чердаклинское городское поселение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22.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город Димитровград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96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23.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город Новоульяновск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97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" w:type="dxa"/>
          </w:tcPr>
          <w:p>
            <w:pPr>
              <w:pStyle w:val="4"/>
              <w:jc w:val="center"/>
              <w:outlineLvl w:val="1"/>
            </w:pPr>
            <w:r>
              <w:t>24.</w:t>
            </w:r>
          </w:p>
        </w:tc>
        <w:tc>
          <w:tcPr>
            <w:tcW w:w="4989" w:type="dxa"/>
          </w:tcPr>
          <w:p>
            <w:pPr>
              <w:pStyle w:val="4"/>
            </w:pPr>
            <w:r>
              <w:t>город Ульяновск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95</w:t>
            </w:r>
          </w:p>
        </w:tc>
        <w:tc>
          <w:tcPr>
            <w:tcW w:w="1019" w:type="dxa"/>
          </w:tcPr>
          <w:p>
            <w:pPr>
              <w:pStyle w:val="4"/>
              <w:jc w:val="center"/>
            </w:pPr>
            <w:r>
              <w:t>95</w:t>
            </w:r>
          </w:p>
        </w:tc>
        <w:tc>
          <w:tcPr>
            <w:tcW w:w="1021" w:type="dxa"/>
          </w:tcPr>
          <w:p>
            <w:pPr>
              <w:pStyle w:val="4"/>
              <w:jc w:val="center"/>
            </w:pPr>
            <w:r>
              <w:t>95</w:t>
            </w:r>
          </w:p>
        </w:tc>
      </w:tr>
    </w:tbl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0F"/>
    <w:rsid w:val="001F1DB0"/>
    <w:rsid w:val="005559A6"/>
    <w:rsid w:val="007965BB"/>
    <w:rsid w:val="0096460F"/>
    <w:rsid w:val="192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7">
    <w:name w:val="ConsPlusCell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8">
    <w:name w:val="ConsPlusDocList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11">
    <w:name w:val="ConsPlusTextList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1417</Words>
  <Characters>8079</Characters>
  <Lines>67</Lines>
  <Paragraphs>18</Paragraphs>
  <TotalTime>1</TotalTime>
  <ScaleCrop>false</ScaleCrop>
  <LinksUpToDate>false</LinksUpToDate>
  <CharactersWithSpaces>9478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2020-08-26T07:38:00Z</dcterms:created>
  <dc:creator>User</dc:creator>
  <cp:lastModifiedBy>user</cp:lastModifiedBy>
  <dcterms:modified xsi:type="dcterms:W3CDTF">2020-10-14T13:09:47Z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